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BA" w:rsidRDefault="00F67C6E" w:rsidP="009F7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COORDINAMENTO DOCUMENTARIO </w:t>
      </w:r>
    </w:p>
    <w:p w:rsidR="009F7E6D" w:rsidRPr="00EA4F83" w:rsidRDefault="00F67C6E" w:rsidP="009F7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</w:t>
      </w:r>
      <w:r w:rsidR="00F942BA">
        <w:rPr>
          <w:b/>
          <w:sz w:val="24"/>
          <w:szCs w:val="24"/>
        </w:rPr>
        <w:t xml:space="preserve"> </w:t>
      </w:r>
      <w:r w:rsidR="009F7E6D" w:rsidRPr="00EA4F83">
        <w:rPr>
          <w:b/>
          <w:sz w:val="24"/>
          <w:szCs w:val="24"/>
        </w:rPr>
        <w:t xml:space="preserve">C.U.N. </w:t>
      </w:r>
      <w:r w:rsidR="00F942BA">
        <w:rPr>
          <w:b/>
          <w:sz w:val="24"/>
          <w:szCs w:val="24"/>
        </w:rPr>
        <w:t>-</w:t>
      </w:r>
      <w:r w:rsidR="009F7E6D" w:rsidRPr="00EA4F83">
        <w:rPr>
          <w:b/>
          <w:sz w:val="24"/>
          <w:szCs w:val="24"/>
        </w:rPr>
        <w:t xml:space="preserve">  CENTRO UFOLOGICO NAZIONALE</w:t>
      </w:r>
    </w:p>
    <w:p w:rsidR="00CB0688" w:rsidRPr="00EA4F83" w:rsidRDefault="00F942BA" w:rsidP="009F7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DELLA </w:t>
      </w:r>
      <w:proofErr w:type="spellStart"/>
      <w:r w:rsidR="009F7E6D" w:rsidRPr="00EA4F83">
        <w:rPr>
          <w:b/>
          <w:sz w:val="24"/>
          <w:szCs w:val="24"/>
        </w:rPr>
        <w:t>S.U.F.</w:t>
      </w:r>
      <w:proofErr w:type="spellEnd"/>
      <w:r w:rsidR="009F7E6D" w:rsidRPr="00EA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F7E6D" w:rsidRPr="00EA4F83">
        <w:rPr>
          <w:b/>
          <w:sz w:val="24"/>
          <w:szCs w:val="24"/>
        </w:rPr>
        <w:t xml:space="preserve"> SEZIONE UFOLOGICA FIORENTINA</w:t>
      </w:r>
    </w:p>
    <w:p w:rsidR="009F7E6D" w:rsidRDefault="009F7E6D" w:rsidP="009F7E6D">
      <w:pPr>
        <w:jc w:val="center"/>
        <w:rPr>
          <w:b/>
        </w:rPr>
      </w:pPr>
    </w:p>
    <w:p w:rsidR="009F7E6D" w:rsidRPr="00EA4F83" w:rsidRDefault="009F7E6D" w:rsidP="00F67C6E">
      <w:pPr>
        <w:jc w:val="both"/>
        <w:rPr>
          <w:sz w:val="24"/>
          <w:szCs w:val="24"/>
        </w:rPr>
      </w:pPr>
      <w:r w:rsidRPr="00EA4F83">
        <w:rPr>
          <w:sz w:val="24"/>
          <w:szCs w:val="24"/>
        </w:rPr>
        <w:t>Il Coordinamento documentario del CUN e del</w:t>
      </w:r>
      <w:r w:rsidR="00EA4F83">
        <w:rPr>
          <w:sz w:val="24"/>
          <w:szCs w:val="24"/>
        </w:rPr>
        <w:t>la SUF</w:t>
      </w:r>
      <w:r w:rsidRPr="00EA4F83">
        <w:rPr>
          <w:sz w:val="24"/>
          <w:szCs w:val="24"/>
        </w:rPr>
        <w:t>, organo deputato alla raccolta ed archiviazioni dati, in merito alle segnalazioni UFO</w:t>
      </w:r>
      <w:r w:rsidR="00EA4F83">
        <w:rPr>
          <w:sz w:val="24"/>
          <w:szCs w:val="24"/>
        </w:rPr>
        <w:t xml:space="preserve"> pervenute alle due associazioni</w:t>
      </w:r>
      <w:r w:rsidRPr="00EA4F83">
        <w:rPr>
          <w:sz w:val="24"/>
          <w:szCs w:val="24"/>
        </w:rPr>
        <w:t>, dichiara quanto segue:</w:t>
      </w:r>
    </w:p>
    <w:p w:rsidR="009F7E6D" w:rsidRPr="00EA4F83" w:rsidRDefault="009F7E6D" w:rsidP="00F67C6E">
      <w:pPr>
        <w:jc w:val="both"/>
        <w:rPr>
          <w:sz w:val="24"/>
          <w:szCs w:val="24"/>
        </w:rPr>
      </w:pPr>
      <w:r w:rsidRPr="00EA4F83">
        <w:rPr>
          <w:sz w:val="24"/>
          <w:szCs w:val="24"/>
        </w:rPr>
        <w:t xml:space="preserve">durante l'anno 2015 si è avuto un </w:t>
      </w:r>
      <w:r w:rsidRPr="00F942BA">
        <w:rPr>
          <w:sz w:val="24"/>
          <w:szCs w:val="24"/>
          <w:u w:val="single"/>
        </w:rPr>
        <w:t xml:space="preserve">record storico </w:t>
      </w:r>
      <w:r w:rsidR="00EA4F83" w:rsidRPr="00F942BA">
        <w:rPr>
          <w:sz w:val="24"/>
          <w:szCs w:val="24"/>
          <w:u w:val="single"/>
        </w:rPr>
        <w:t>negativo</w:t>
      </w:r>
      <w:r w:rsidR="00EA4F83" w:rsidRPr="00EA4F83">
        <w:rPr>
          <w:sz w:val="24"/>
          <w:szCs w:val="24"/>
        </w:rPr>
        <w:t xml:space="preserve"> </w:t>
      </w:r>
      <w:r w:rsidRPr="00EA4F83">
        <w:rPr>
          <w:sz w:val="24"/>
          <w:szCs w:val="24"/>
        </w:rPr>
        <w:t>delle segnalazioni UFO che risultano, allo stato attuale</w:t>
      </w:r>
      <w:r w:rsidR="00386C89" w:rsidRPr="00EA4F83">
        <w:rPr>
          <w:sz w:val="24"/>
          <w:szCs w:val="24"/>
        </w:rPr>
        <w:t>,</w:t>
      </w:r>
      <w:r w:rsidRPr="00EA4F83">
        <w:rPr>
          <w:sz w:val="24"/>
          <w:szCs w:val="24"/>
        </w:rPr>
        <w:t xml:space="preserve"> </w:t>
      </w:r>
      <w:r w:rsidR="00EA4F83" w:rsidRPr="00EA4F83">
        <w:rPr>
          <w:sz w:val="24"/>
          <w:szCs w:val="24"/>
        </w:rPr>
        <w:t>quasi</w:t>
      </w:r>
      <w:r w:rsidRPr="00EA4F83">
        <w:rPr>
          <w:sz w:val="24"/>
          <w:szCs w:val="24"/>
        </w:rPr>
        <w:t xml:space="preserve"> dimezzate rispetto all'anno precedente.</w:t>
      </w:r>
    </w:p>
    <w:p w:rsidR="00EA4F83" w:rsidRDefault="00EA4F83" w:rsidP="009F7E6D">
      <w:pPr>
        <w:rPr>
          <w:b/>
        </w:rPr>
      </w:pPr>
    </w:p>
    <w:tbl>
      <w:tblPr>
        <w:tblStyle w:val="Grigliatabella"/>
        <w:tblpPr w:leftFromText="141" w:rightFromText="141" w:vertAnchor="page" w:horzAnchor="margin" w:tblpXSpec="center" w:tblpY="5986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923"/>
        <w:gridCol w:w="3163"/>
      </w:tblGrid>
      <w:tr w:rsidR="00F67C6E" w:rsidRPr="00386C89" w:rsidTr="00F67C6E">
        <w:trPr>
          <w:trHeight w:val="230"/>
        </w:trPr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b/>
                <w:i/>
                <w:sz w:val="24"/>
              </w:rPr>
            </w:pPr>
            <w:r w:rsidRPr="00386C89">
              <w:rPr>
                <w:b/>
                <w:i/>
                <w:sz w:val="24"/>
              </w:rPr>
              <w:t>ANNO</w:t>
            </w:r>
          </w:p>
        </w:tc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b/>
                <w:i/>
                <w:sz w:val="24"/>
              </w:rPr>
            </w:pPr>
            <w:r w:rsidRPr="00386C89">
              <w:rPr>
                <w:b/>
                <w:i/>
                <w:sz w:val="24"/>
              </w:rPr>
              <w:t>NUMERO SEGNALAZIONI</w:t>
            </w:r>
          </w:p>
        </w:tc>
      </w:tr>
      <w:tr w:rsidR="00F67C6E" w:rsidRPr="00386C89" w:rsidTr="00F67C6E">
        <w:trPr>
          <w:trHeight w:val="378"/>
        </w:trPr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2010</w:t>
            </w:r>
          </w:p>
        </w:tc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410</w:t>
            </w:r>
          </w:p>
        </w:tc>
      </w:tr>
      <w:tr w:rsidR="00F67C6E" w:rsidRPr="00386C89" w:rsidTr="00F67C6E">
        <w:trPr>
          <w:trHeight w:val="397"/>
        </w:trPr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2011</w:t>
            </w:r>
          </w:p>
        </w:tc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210</w:t>
            </w:r>
          </w:p>
        </w:tc>
      </w:tr>
      <w:tr w:rsidR="00F67C6E" w:rsidRPr="00386C89" w:rsidTr="00F67C6E">
        <w:trPr>
          <w:trHeight w:val="403"/>
        </w:trPr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2012</w:t>
            </w:r>
          </w:p>
        </w:tc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225</w:t>
            </w:r>
          </w:p>
        </w:tc>
      </w:tr>
      <w:tr w:rsidR="00F67C6E" w:rsidRPr="00386C89" w:rsidTr="00F67C6E">
        <w:trPr>
          <w:trHeight w:val="409"/>
        </w:trPr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223</w:t>
            </w:r>
          </w:p>
        </w:tc>
      </w:tr>
      <w:tr w:rsidR="00F67C6E" w:rsidRPr="00386C89" w:rsidTr="00F67C6E">
        <w:trPr>
          <w:trHeight w:val="415"/>
        </w:trPr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sz w:val="24"/>
              </w:rPr>
            </w:pPr>
            <w:r w:rsidRPr="00386C89">
              <w:rPr>
                <w:sz w:val="24"/>
              </w:rPr>
              <w:t>133</w:t>
            </w:r>
          </w:p>
        </w:tc>
      </w:tr>
      <w:tr w:rsidR="00F67C6E" w:rsidRPr="00386C89" w:rsidTr="00F67C6E">
        <w:trPr>
          <w:trHeight w:val="456"/>
        </w:trPr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b/>
                <w:sz w:val="24"/>
              </w:rPr>
            </w:pPr>
            <w:r w:rsidRPr="00386C89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F67C6E" w:rsidRPr="00386C89" w:rsidRDefault="00F67C6E" w:rsidP="00F67C6E">
            <w:pPr>
              <w:jc w:val="center"/>
              <w:rPr>
                <w:b/>
                <w:sz w:val="24"/>
              </w:rPr>
            </w:pPr>
            <w:r w:rsidRPr="00386C89">
              <w:rPr>
                <w:b/>
                <w:sz w:val="24"/>
              </w:rPr>
              <w:t>79</w:t>
            </w:r>
          </w:p>
        </w:tc>
      </w:tr>
    </w:tbl>
    <w:p w:rsidR="00EA4F83" w:rsidRDefault="00EA4F83" w:rsidP="009F7E6D">
      <w:pPr>
        <w:rPr>
          <w:b/>
        </w:rPr>
      </w:pPr>
    </w:p>
    <w:p w:rsidR="00EA4F83" w:rsidRDefault="00EA4F83" w:rsidP="009F7E6D">
      <w:pPr>
        <w:rPr>
          <w:b/>
        </w:rPr>
      </w:pPr>
    </w:p>
    <w:p w:rsidR="00EA4F83" w:rsidRDefault="00EA4F83" w:rsidP="009F7E6D">
      <w:pPr>
        <w:rPr>
          <w:b/>
        </w:rPr>
      </w:pPr>
    </w:p>
    <w:p w:rsidR="00EA4F83" w:rsidRDefault="00EA4F83" w:rsidP="009F7E6D">
      <w:pPr>
        <w:rPr>
          <w:b/>
        </w:rPr>
      </w:pPr>
    </w:p>
    <w:p w:rsidR="00EA4F83" w:rsidRDefault="00EA4F83" w:rsidP="009F7E6D">
      <w:pPr>
        <w:rPr>
          <w:b/>
        </w:rPr>
      </w:pPr>
    </w:p>
    <w:p w:rsidR="00EA4F83" w:rsidRDefault="00EA4F83" w:rsidP="009F7E6D">
      <w:pPr>
        <w:rPr>
          <w:b/>
        </w:rPr>
      </w:pPr>
    </w:p>
    <w:p w:rsidR="00EA4F83" w:rsidRDefault="00EA4F83" w:rsidP="009F7E6D">
      <w:pPr>
        <w:rPr>
          <w:b/>
        </w:rPr>
      </w:pPr>
    </w:p>
    <w:p w:rsidR="009F7E6D" w:rsidRDefault="00EA4F83" w:rsidP="00F67C6E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Considerando che dal numero totale delle segnalazioni un buon  90% può essere da noi facilmente spiegato con eventi naturali non riconosciuti dai vari testimoni, u</w:t>
      </w:r>
      <w:r w:rsidRPr="00EA4F83">
        <w:rPr>
          <w:sz w:val="24"/>
          <w:szCs w:val="24"/>
        </w:rPr>
        <w:t>n tentativo di valutazione</w:t>
      </w:r>
      <w:r>
        <w:rPr>
          <w:sz w:val="24"/>
          <w:szCs w:val="24"/>
        </w:rPr>
        <w:t xml:space="preserve"> di questo </w:t>
      </w:r>
      <w:r w:rsidR="00F67C6E">
        <w:rPr>
          <w:sz w:val="24"/>
          <w:szCs w:val="24"/>
        </w:rPr>
        <w:t>dato</w:t>
      </w:r>
      <w:r>
        <w:rPr>
          <w:sz w:val="24"/>
          <w:szCs w:val="24"/>
        </w:rPr>
        <w:t xml:space="preserve"> al riba</w:t>
      </w:r>
      <w:r w:rsidR="00D848D2">
        <w:rPr>
          <w:sz w:val="24"/>
          <w:szCs w:val="24"/>
        </w:rPr>
        <w:t xml:space="preserve">sso potrebbe essere attribuito </w:t>
      </w:r>
      <w:r w:rsidR="00F67C6E">
        <w:rPr>
          <w:sz w:val="24"/>
          <w:szCs w:val="24"/>
        </w:rPr>
        <w:t>ad</w:t>
      </w:r>
      <w:r w:rsidR="00D848D2">
        <w:rPr>
          <w:sz w:val="24"/>
          <w:szCs w:val="24"/>
        </w:rPr>
        <w:t xml:space="preserve"> una più corretta e cosciente valutazione di riconoscimento dell'evento da parte dei testimoni ed in tal senso l'evento non </w:t>
      </w:r>
      <w:r w:rsidR="00F67C6E">
        <w:rPr>
          <w:sz w:val="24"/>
          <w:szCs w:val="24"/>
        </w:rPr>
        <w:t>ha senso di essere</w:t>
      </w:r>
      <w:r w:rsidR="00D848D2">
        <w:rPr>
          <w:sz w:val="24"/>
          <w:szCs w:val="24"/>
        </w:rPr>
        <w:t xml:space="preserve"> segnalato.</w:t>
      </w:r>
      <w:r>
        <w:rPr>
          <w:sz w:val="24"/>
          <w:szCs w:val="24"/>
        </w:rPr>
        <w:t xml:space="preserve"> </w:t>
      </w:r>
    </w:p>
    <w:p w:rsidR="00D848D2" w:rsidRDefault="00D848D2" w:rsidP="00F67C6E">
      <w:pPr>
        <w:jc w:val="both"/>
        <w:rPr>
          <w:sz w:val="24"/>
          <w:szCs w:val="24"/>
        </w:rPr>
      </w:pPr>
      <w:r>
        <w:rPr>
          <w:sz w:val="24"/>
          <w:szCs w:val="24"/>
        </w:rPr>
        <w:t>Basta pensare alla nuova moda</w:t>
      </w:r>
      <w:r w:rsidR="00F67C6E">
        <w:rPr>
          <w:sz w:val="24"/>
          <w:szCs w:val="24"/>
        </w:rPr>
        <w:t xml:space="preserve"> del lancio delle "Lanterne C</w:t>
      </w:r>
      <w:r>
        <w:rPr>
          <w:sz w:val="24"/>
          <w:szCs w:val="24"/>
        </w:rPr>
        <w:t>inesi"  che attualmente vengono più facilmente riconosciute rispetto agli anni precedenti.</w:t>
      </w:r>
    </w:p>
    <w:p w:rsidR="00D848D2" w:rsidRDefault="00D848D2" w:rsidP="00F67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parte nostra segnaliamo anche un nuovo tipo di avvistamento: quello dei </w:t>
      </w:r>
      <w:r w:rsidR="00F67C6E">
        <w:rPr>
          <w:sz w:val="24"/>
          <w:szCs w:val="24"/>
        </w:rPr>
        <w:t>"</w:t>
      </w:r>
      <w:proofErr w:type="spellStart"/>
      <w:r w:rsidR="00F67C6E">
        <w:rPr>
          <w:sz w:val="24"/>
          <w:szCs w:val="24"/>
        </w:rPr>
        <w:t>D</w:t>
      </w:r>
      <w:r>
        <w:rPr>
          <w:sz w:val="24"/>
          <w:szCs w:val="24"/>
        </w:rPr>
        <w:t>roni</w:t>
      </w:r>
      <w:proofErr w:type="spellEnd"/>
      <w:r w:rsidR="00F67C6E">
        <w:rPr>
          <w:sz w:val="24"/>
          <w:szCs w:val="24"/>
        </w:rPr>
        <w:t>"</w:t>
      </w:r>
      <w:r>
        <w:rPr>
          <w:sz w:val="24"/>
          <w:szCs w:val="24"/>
        </w:rPr>
        <w:t xml:space="preserve"> a scopo ludico. Attualmente</w:t>
      </w:r>
      <w:r w:rsidR="00F67C6E">
        <w:rPr>
          <w:sz w:val="24"/>
          <w:szCs w:val="24"/>
        </w:rPr>
        <w:t>,</w:t>
      </w:r>
      <w:r>
        <w:rPr>
          <w:sz w:val="24"/>
          <w:szCs w:val="24"/>
        </w:rPr>
        <w:t xml:space="preserve"> data la corta distanza di operatività</w:t>
      </w:r>
      <w:r w:rsidR="00F67C6E">
        <w:rPr>
          <w:sz w:val="24"/>
          <w:szCs w:val="24"/>
        </w:rPr>
        <w:t>, tali strumenti</w:t>
      </w:r>
      <w:r>
        <w:rPr>
          <w:sz w:val="24"/>
          <w:szCs w:val="24"/>
        </w:rPr>
        <w:t xml:space="preserve"> non stanno creando un forte elemento di segnalazioni, ma queste potrebbero aumentare notevolmente </w:t>
      </w:r>
      <w:r w:rsidR="00F67C6E">
        <w:rPr>
          <w:sz w:val="24"/>
          <w:szCs w:val="24"/>
        </w:rPr>
        <w:t xml:space="preserve">in un imminente futuro </w:t>
      </w:r>
      <w:r w:rsidR="00F942BA">
        <w:rPr>
          <w:sz w:val="24"/>
          <w:szCs w:val="24"/>
        </w:rPr>
        <w:t>perché</w:t>
      </w:r>
      <w:r w:rsidR="00F67C6E">
        <w:rPr>
          <w:sz w:val="24"/>
          <w:szCs w:val="24"/>
        </w:rPr>
        <w:t xml:space="preserve"> la loro operatività è in fase di miglioramento con l'introduzione della guida automatica in GPS e l'aumento della </w:t>
      </w:r>
      <w:r w:rsidR="00F942BA">
        <w:rPr>
          <w:sz w:val="24"/>
          <w:szCs w:val="24"/>
        </w:rPr>
        <w:t>loro autonomia con batterie potenziate</w:t>
      </w:r>
      <w:r w:rsidR="00F67C6E">
        <w:rPr>
          <w:sz w:val="24"/>
          <w:szCs w:val="24"/>
        </w:rPr>
        <w:t>.</w:t>
      </w:r>
    </w:p>
    <w:p w:rsidR="00F942BA" w:rsidRPr="00F942BA" w:rsidRDefault="00F942BA" w:rsidP="00F67C6E">
      <w:pPr>
        <w:jc w:val="both"/>
        <w:rPr>
          <w:i/>
          <w:sz w:val="24"/>
          <w:szCs w:val="24"/>
        </w:rPr>
      </w:pPr>
      <w:r w:rsidRPr="00F942BA">
        <w:rPr>
          <w:i/>
          <w:sz w:val="24"/>
          <w:szCs w:val="24"/>
        </w:rPr>
        <w:t>Franco Mari - Firenze, 16 gennaio 2016</w:t>
      </w:r>
    </w:p>
    <w:p w:rsidR="00F942BA" w:rsidRDefault="00F942BA" w:rsidP="00F67C6E">
      <w:pPr>
        <w:jc w:val="both"/>
        <w:rPr>
          <w:sz w:val="24"/>
          <w:szCs w:val="24"/>
        </w:rPr>
      </w:pPr>
    </w:p>
    <w:p w:rsidR="00F67C6E" w:rsidRDefault="00F67C6E" w:rsidP="00F67C6E">
      <w:pPr>
        <w:jc w:val="both"/>
        <w:rPr>
          <w:sz w:val="24"/>
          <w:szCs w:val="24"/>
        </w:rPr>
      </w:pPr>
    </w:p>
    <w:p w:rsidR="00D848D2" w:rsidRPr="00EA4F83" w:rsidRDefault="00D848D2" w:rsidP="009F7E6D">
      <w:pPr>
        <w:rPr>
          <w:sz w:val="24"/>
          <w:szCs w:val="24"/>
        </w:rPr>
      </w:pPr>
    </w:p>
    <w:sectPr w:rsidR="00D848D2" w:rsidRPr="00EA4F83" w:rsidSect="00CB0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7E6D"/>
    <w:rsid w:val="001F251A"/>
    <w:rsid w:val="00386C89"/>
    <w:rsid w:val="00886E4A"/>
    <w:rsid w:val="009C122B"/>
    <w:rsid w:val="009F7E6D"/>
    <w:rsid w:val="00C86D45"/>
    <w:rsid w:val="00CB0688"/>
    <w:rsid w:val="00D848D2"/>
    <w:rsid w:val="00EA4F83"/>
    <w:rsid w:val="00F67C6E"/>
    <w:rsid w:val="00F9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51A"/>
  </w:style>
  <w:style w:type="paragraph" w:styleId="Titolo1">
    <w:name w:val="heading 1"/>
    <w:basedOn w:val="Normale"/>
    <w:next w:val="Normale"/>
    <w:link w:val="Titolo1Carattere"/>
    <w:uiPriority w:val="9"/>
    <w:qFormat/>
    <w:rsid w:val="001F2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2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F2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F2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F25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F25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F25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F25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2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2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25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F2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F25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F25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F25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F25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F25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2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F2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51A"/>
    <w:rPr>
      <w:b/>
      <w:bCs/>
    </w:rPr>
  </w:style>
  <w:style w:type="character" w:styleId="Enfasicorsivo">
    <w:name w:val="Emphasis"/>
    <w:basedOn w:val="Carpredefinitoparagrafo"/>
    <w:uiPriority w:val="20"/>
    <w:qFormat/>
    <w:rsid w:val="001F251A"/>
    <w:rPr>
      <w:i/>
      <w:iCs/>
    </w:rPr>
  </w:style>
  <w:style w:type="paragraph" w:styleId="Nessunaspaziatura">
    <w:name w:val="No Spacing"/>
    <w:uiPriority w:val="1"/>
    <w:qFormat/>
    <w:rsid w:val="001F251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F251A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25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251A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1F251A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qFormat/>
    <w:rsid w:val="001F251A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1F251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F251A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9F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ellanormale"/>
    <w:uiPriority w:val="99"/>
    <w:qFormat/>
    <w:rsid w:val="009F7E6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9E13-FC44-41DB-9971-67F986D0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</cp:revision>
  <cp:lastPrinted>2016-01-16T11:52:00Z</cp:lastPrinted>
  <dcterms:created xsi:type="dcterms:W3CDTF">2016-01-16T10:52:00Z</dcterms:created>
  <dcterms:modified xsi:type="dcterms:W3CDTF">2016-01-16T11:52:00Z</dcterms:modified>
</cp:coreProperties>
</file>